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FA" w:rsidRPr="004E3AE5" w:rsidRDefault="00C512FA" w:rsidP="00C512FA">
      <w:pPr>
        <w:spacing w:after="120" w:line="240" w:lineRule="auto"/>
        <w:ind w:left="652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142" w:rsidRPr="00D41142" w:rsidRDefault="00D41142" w:rsidP="00D41142">
      <w:pPr>
        <w:spacing w:after="12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4114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Затверджено</w:t>
      </w:r>
    </w:p>
    <w:p w:rsidR="00D41142" w:rsidRPr="00D41142" w:rsidRDefault="00D41142" w:rsidP="00D41142">
      <w:pPr>
        <w:spacing w:after="12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4114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рішення Рівненської обласної ради</w:t>
      </w:r>
    </w:p>
    <w:p w:rsidR="00D41142" w:rsidRPr="00D41142" w:rsidRDefault="00D41142" w:rsidP="00D41142">
      <w:pPr>
        <w:spacing w:after="12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4114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E71A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01.12.2017 </w:t>
      </w:r>
      <w:bookmarkStart w:id="0" w:name="_GoBack"/>
      <w:bookmarkEnd w:id="0"/>
      <w:r w:rsidRPr="00D4114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№</w:t>
      </w:r>
      <w:r w:rsidR="00E71A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810</w:t>
      </w:r>
    </w:p>
    <w:p w:rsidR="00C512FA" w:rsidRPr="004E3AE5" w:rsidRDefault="00C512FA" w:rsidP="00C512F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2FA" w:rsidRPr="004E3AE5" w:rsidRDefault="00C512FA" w:rsidP="00C512F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C512FA" w:rsidRPr="004E3AE5" w:rsidRDefault="00C512FA" w:rsidP="00C512F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оцінки корупційних ризиків </w:t>
      </w:r>
    </w:p>
    <w:p w:rsidR="00C512FA" w:rsidRPr="004E3AE5" w:rsidRDefault="00C512FA" w:rsidP="00C512F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діяльності </w:t>
      </w:r>
      <w:r w:rsidR="00B411A2" w:rsidRPr="004E3AE5">
        <w:rPr>
          <w:rFonts w:ascii="Times New Roman" w:hAnsi="Times New Roman" w:cs="Times New Roman"/>
          <w:b/>
          <w:sz w:val="28"/>
          <w:szCs w:val="28"/>
          <w:lang w:val="uk-UA"/>
        </w:rPr>
        <w:t>Рівнен</w:t>
      </w:r>
      <w:r w:rsidRPr="004E3AE5">
        <w:rPr>
          <w:rFonts w:ascii="Times New Roman" w:hAnsi="Times New Roman" w:cs="Times New Roman"/>
          <w:b/>
          <w:sz w:val="28"/>
          <w:szCs w:val="28"/>
          <w:lang w:val="uk-UA"/>
        </w:rPr>
        <w:t>ської обласної ради</w:t>
      </w:r>
    </w:p>
    <w:p w:rsidR="00C512FA" w:rsidRPr="004E3AE5" w:rsidRDefault="00C512FA" w:rsidP="00C512F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2" w:rsidRPr="004E3AE5" w:rsidRDefault="004F0EEC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підготовки А</w:t>
      </w:r>
      <w:r w:rsidR="00B411A2" w:rsidRPr="004E3AE5">
        <w:rPr>
          <w:rFonts w:ascii="Times New Roman" w:hAnsi="Times New Roman" w:cs="Times New Roman"/>
          <w:sz w:val="28"/>
          <w:szCs w:val="28"/>
          <w:lang w:val="uk-UA"/>
        </w:rPr>
        <w:t>нтикорупційної програми Рівненської обласної ради та проведення оцінки корупційних ризиків у діяльності обласної ради, обласною радою було прийняте рішення від 02.06.2017 №626 «Про проведення оцінки корупційних ризиків у діяльності Рівненської обласної ради».</w:t>
      </w:r>
    </w:p>
    <w:p w:rsidR="00C512FA" w:rsidRPr="004E3AE5" w:rsidRDefault="00C512F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035E59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35E59" w:rsidRPr="004E3AE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 від </w:t>
      </w:r>
      <w:r w:rsidR="00837123" w:rsidRPr="004E3AE5">
        <w:rPr>
          <w:rFonts w:ascii="Times New Roman" w:hAnsi="Times New Roman" w:cs="Times New Roman"/>
          <w:sz w:val="28"/>
          <w:szCs w:val="28"/>
          <w:lang w:val="uk-UA"/>
        </w:rPr>
        <w:t>06.09.2017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37123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701 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«Про Комісію з оцінки корупційних ризиків у діяльності Рівненської обласної ради» створено комісію з оцінки корупційних ризиків (далі – Комісія), до складу якої включено працівників </w:t>
      </w:r>
      <w:r w:rsidR="00837123" w:rsidRPr="004E3AE5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структурних підрозділів виконавчого апарату обласної </w:t>
      </w:r>
      <w:r w:rsidR="00837123" w:rsidRPr="004E3AE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7123" w:rsidRPr="004E3A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сього до складу комісії увійшло </w:t>
      </w:r>
      <w:r w:rsidR="00837123" w:rsidRPr="004E3AE5">
        <w:rPr>
          <w:rFonts w:ascii="Times New Roman" w:hAnsi="Times New Roman" w:cs="Times New Roman"/>
          <w:sz w:val="28"/>
          <w:szCs w:val="28"/>
          <w:lang w:val="uk-UA"/>
        </w:rPr>
        <w:t>п’ятнадцять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членів.</w:t>
      </w:r>
    </w:p>
    <w:p w:rsidR="00C512FA" w:rsidRPr="004E3AE5" w:rsidRDefault="00C512F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З метою врахування </w:t>
      </w:r>
      <w:r w:rsidR="002635E4" w:rsidRPr="004E3AE5">
        <w:rPr>
          <w:rFonts w:ascii="Times New Roman" w:hAnsi="Times New Roman" w:cs="Times New Roman"/>
          <w:sz w:val="28"/>
          <w:szCs w:val="28"/>
          <w:lang w:val="uk-UA"/>
        </w:rPr>
        <w:t>пропозицій і зауважень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зі сторони громадськості проект</w:t>
      </w:r>
      <w:r w:rsidR="006E0C63" w:rsidRPr="004E3AE5">
        <w:rPr>
          <w:rFonts w:ascii="Times New Roman" w:hAnsi="Times New Roman" w:cs="Times New Roman"/>
          <w:sz w:val="28"/>
          <w:szCs w:val="28"/>
          <w:lang w:val="uk-UA"/>
        </w:rPr>
        <w:t>и рішень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C63" w:rsidRPr="004E3A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сам</w:t>
      </w:r>
      <w:r w:rsidR="006E0C63" w:rsidRPr="004E3A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обласної ради </w:t>
      </w:r>
      <w:r w:rsidR="006E0C63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від 02.06.2017 №626 «Про проведення оцінки корупційних ризиків у діяльності Рівненської обласної ради» та 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37123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06.09.2017 № 701 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«Про Комісію з оцінки корупційних ризиків у діяльності Рівнен</w:t>
      </w:r>
      <w:r w:rsidR="00B3583B" w:rsidRPr="004E3AE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ької обласної ради» було опубліковано на офіційному веб</w:t>
      </w:r>
      <w:r w:rsidRPr="004E3AE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сайті обласної ради.</w:t>
      </w:r>
    </w:p>
    <w:p w:rsidR="00C512FA" w:rsidRPr="004E3AE5" w:rsidRDefault="00C512F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Комісією, відповідно до вимог </w:t>
      </w:r>
      <w:r w:rsidRPr="004E3A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Методології оцінювання </w:t>
      </w:r>
      <w:r w:rsidRPr="004E3A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корупційних ризиків у діяльності органів влади, затвердженої рішенням Національного агентства з питань запобігання корупції </w:t>
      </w:r>
      <w:r w:rsidRPr="004E3A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від 02 грудня 2016 року № 126, зареєстрованої в </w:t>
      </w:r>
      <w:r w:rsidR="003D73AB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Міністерстві юстиції України</w:t>
      </w: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28 грудня 2016 року № 1718/29848, ідентифіковано </w:t>
      </w:r>
      <w:r w:rsidR="00A75ACF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корупційні ризики в діяльності </w:t>
      </w: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обласної ради, здійснено опис та проведено їх оцінку.</w:t>
      </w:r>
    </w:p>
    <w:p w:rsidR="00C512FA" w:rsidRPr="004E3AE5" w:rsidRDefault="00C512F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ідентифікації корупційних ризиків у діяльності обласної ради здійснювалося вивчення та аналіз орг</w:t>
      </w:r>
      <w:r w:rsidR="00703F9C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анізаційної структури </w:t>
      </w:r>
      <w:r w:rsidR="000A11B6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виконавчого апарату </w:t>
      </w: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обласної ради,</w:t>
      </w:r>
      <w:r w:rsidR="003D73AB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положення про виконавчий апарат обласної ради, затверджене рішенням обл</w:t>
      </w:r>
      <w:r w:rsidR="00570B44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асної ради від 04.03.2014 №1144</w:t>
      </w:r>
      <w:r w:rsidR="0067246A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D73AB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змінами</w:t>
      </w:r>
      <w:r w:rsidR="001A725E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D73AB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внесеними згідно</w:t>
      </w:r>
      <w:r w:rsidR="001A725E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3D73AB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</w:t>
      </w:r>
      <w:r w:rsidR="001A725E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73AB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02.04.2014 №1162, </w:t>
      </w:r>
      <w:r w:rsidR="00471DE3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     управління </w:t>
      </w:r>
      <w:r w:rsidR="00471DE3" w:rsidRPr="004E3A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об’єктами спільної власності територіальних громад сіл, селищ, міст Рівненської області</w:t>
      </w:r>
      <w:r w:rsidR="00471DE3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71DE3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Рівненської обласної ради від </w:t>
      </w:r>
      <w:r w:rsidR="00471DE3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04.03.2014 №1142</w:t>
      </w:r>
      <w:r w:rsidR="005B0C8C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71DE3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змінами від 17.06.2016 №212, </w:t>
      </w:r>
      <w:r w:rsidR="00703F9C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результатів </w:t>
      </w:r>
      <w:r w:rsidR="00570B44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роботи щодо вивчення стану фінансово</w:t>
      </w:r>
      <w:r w:rsidR="00570B44" w:rsidRPr="004E3AE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570B44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господарської діяльності комунальних підприємств, закладів, установ</w:t>
      </w:r>
      <w:r w:rsidR="00703F9C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70B44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належать до сфери управління обласної ради, проведених виконавчими апаратом обласної ради, </w:t>
      </w:r>
      <w:r w:rsidR="00703F9C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посадових інструкцій, </w:t>
      </w:r>
      <w:r w:rsidR="00570B44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звернень</w:t>
      </w:r>
      <w:r w:rsidR="00703F9C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громадян, що надійшли на адресу Рівненської обласної ради, </w:t>
      </w: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положень про структурні підрозділи виконавчого апарату обласної ради.</w:t>
      </w:r>
    </w:p>
    <w:p w:rsidR="001E34AA" w:rsidRPr="004E3AE5" w:rsidRDefault="001E34A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складу 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Комісії з оцінки корупційних ризиків у діяльності Рівненської обласної ради увійшли керівництво</w:t>
      </w:r>
      <w:r w:rsidR="000A11B6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, начальники відділів виконавчого апарату обласної ради,</w:t>
      </w:r>
      <w:r w:rsidR="006948F7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8F7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консультант з питань запобігання та виявлення корупції,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голови постійних комісій обласної ради, а саме</w:t>
      </w:r>
      <w:r w:rsidR="00BA223E" w:rsidRPr="004E3A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223E" w:rsidRPr="004E3AE5" w:rsidRDefault="00BA223E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BA223E" w:rsidRPr="004E3AE5" w:rsidTr="00BA223E">
        <w:tc>
          <w:tcPr>
            <w:tcW w:w="817" w:type="dxa"/>
          </w:tcPr>
          <w:p w:rsidR="00BA223E" w:rsidRPr="004E3AE5" w:rsidRDefault="00050E8C" w:rsidP="00564D9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№ </w:t>
            </w:r>
            <w:r w:rsidR="00564D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9" w:type="dxa"/>
          </w:tcPr>
          <w:p w:rsidR="00BA223E" w:rsidRPr="004E3AE5" w:rsidRDefault="00050E8C" w:rsidP="00050E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919" w:type="dxa"/>
          </w:tcPr>
          <w:p w:rsidR="00BA223E" w:rsidRPr="004E3AE5" w:rsidRDefault="00050E8C" w:rsidP="00050E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Посада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BA223E" w:rsidP="00050E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BA223E" w:rsidRPr="004E3AE5" w:rsidRDefault="00BA223E" w:rsidP="00050E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919" w:type="dxa"/>
          </w:tcPr>
          <w:p w:rsidR="00BA223E" w:rsidRPr="004E3AE5" w:rsidRDefault="00BA223E" w:rsidP="00050E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BA223E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КОРНІЙЧУК 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 Васильович                                     </w:t>
            </w:r>
          </w:p>
        </w:tc>
        <w:tc>
          <w:tcPr>
            <w:tcW w:w="5919" w:type="dxa"/>
          </w:tcPr>
          <w:p w:rsidR="00BA223E" w:rsidRPr="004E3AE5" w:rsidRDefault="00AF7D42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перший заступник </w:t>
            </w:r>
            <w:r w:rsidR="00BA223E"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голови </w:t>
            </w:r>
          </w:p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обласної ради,</w:t>
            </w:r>
          </w:p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BA223E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СОЛОГУБ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керуючий справами виконавчого апарату обласної ради,  - керівник секретаріату, заступник голови комісії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BA223E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3908D4" w:rsidRPr="004E3AE5" w:rsidRDefault="003908D4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ПЕТРІВ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Анна Олегівна</w:t>
            </w: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консультант з питань запобігання та виявлення корупції, секретар комісії</w:t>
            </w:r>
          </w:p>
        </w:tc>
      </w:tr>
      <w:tr w:rsidR="000C6662" w:rsidRPr="004E3AE5" w:rsidTr="00112686">
        <w:tc>
          <w:tcPr>
            <w:tcW w:w="9855" w:type="dxa"/>
            <w:gridSpan w:val="3"/>
          </w:tcPr>
          <w:p w:rsidR="000C6662" w:rsidRPr="004E3AE5" w:rsidRDefault="000C6662" w:rsidP="00AF7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BA223E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ГАВРИЛЮК                                                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Сергій Миколайович                                   </w:t>
            </w: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заступник керуючого справами виконавчого апарату обласної ради – керівника  секретаріату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BA223E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КОНОНЕНКО 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документообігу та роботи зі зверненнями громадян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BA223E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ГРЕЧКО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Богдан Адамович</w:t>
            </w: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юридичного забезпечення та кадрової роботи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050E8C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ТАРАСЮК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фі</w:t>
            </w:r>
            <w:r w:rsidR="00F81FE3"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нансово-господарського відділу-</w:t>
            </w: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050E8C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ТУМИЛОВИЧ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організаційного відділу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050E8C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БОВС</w:t>
            </w:r>
            <w:r w:rsidR="00A40F65"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НЮК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контролю та інформаційно-аналітичної роботи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050E8C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АДАМЧУК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Анастасія Анатоліївна</w:t>
            </w: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прес-служби</w:t>
            </w:r>
          </w:p>
        </w:tc>
      </w:tr>
      <w:tr w:rsidR="00BA223E" w:rsidRPr="004E3AE5" w:rsidTr="00BA223E">
        <w:trPr>
          <w:trHeight w:val="1126"/>
        </w:trPr>
        <w:tc>
          <w:tcPr>
            <w:tcW w:w="817" w:type="dxa"/>
          </w:tcPr>
          <w:p w:rsidR="00BA223E" w:rsidRPr="004E3AE5" w:rsidRDefault="00050E8C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НІЛАБОВИЧ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Юрій Михайлович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з питань спільної власності територіальних громад та економічного розвитку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050E8C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СВИСТАЛЮК 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 Анатолійович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BA223E" w:rsidRPr="004E3AE5" w:rsidRDefault="00BA223E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постійної комісії обласної ради з питань Регламенту, діяльності правоохоронних органів та боротьби з корупцією</w:t>
            </w:r>
          </w:p>
        </w:tc>
      </w:tr>
      <w:tr w:rsidR="00BA223E" w:rsidRPr="004E3AE5" w:rsidTr="00BA223E">
        <w:tc>
          <w:tcPr>
            <w:tcW w:w="817" w:type="dxa"/>
          </w:tcPr>
          <w:p w:rsidR="00BA223E" w:rsidRPr="004E3AE5" w:rsidRDefault="00050E8C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БОЙКО 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Віталій Ярославович</w:t>
            </w:r>
          </w:p>
        </w:tc>
        <w:tc>
          <w:tcPr>
            <w:tcW w:w="5919" w:type="dxa"/>
          </w:tcPr>
          <w:p w:rsidR="00BA223E" w:rsidRPr="004E3AE5" w:rsidRDefault="00BA223E" w:rsidP="004E7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постійної комісії обласної ради з </w:t>
            </w:r>
            <w:r w:rsidR="004E71CD"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економічних питань та комунальної власності</w:t>
            </w:r>
          </w:p>
        </w:tc>
      </w:tr>
      <w:tr w:rsidR="00BA223E" w:rsidRPr="00E71A93" w:rsidTr="00BA223E">
        <w:tc>
          <w:tcPr>
            <w:tcW w:w="817" w:type="dxa"/>
          </w:tcPr>
          <w:p w:rsidR="00BA223E" w:rsidRPr="004E3AE5" w:rsidRDefault="00050E8C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</w:tcPr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ВАЛЯВКА</w:t>
            </w:r>
          </w:p>
          <w:p w:rsidR="00BA223E" w:rsidRPr="004E3AE5" w:rsidRDefault="00BA223E" w:rsidP="00BA22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 Ярославович</w:t>
            </w:r>
          </w:p>
        </w:tc>
        <w:tc>
          <w:tcPr>
            <w:tcW w:w="5919" w:type="dxa"/>
          </w:tcPr>
          <w:p w:rsidR="00BA223E" w:rsidRPr="004E3AE5" w:rsidRDefault="004E71CD" w:rsidP="00BA2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постійної комісії обласної ради з питань екології, природокористування, охорони навколишнього природнього середовища та ліквідації наслідків Чорнобильської катастрофи</w:t>
            </w:r>
          </w:p>
        </w:tc>
      </w:tr>
      <w:tr w:rsidR="00BA223E" w:rsidRPr="00E71A93" w:rsidTr="00BA223E">
        <w:tc>
          <w:tcPr>
            <w:tcW w:w="817" w:type="dxa"/>
          </w:tcPr>
          <w:p w:rsidR="00BA223E" w:rsidRPr="004E3AE5" w:rsidRDefault="00050E8C" w:rsidP="00BA223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19" w:type="dxa"/>
          </w:tcPr>
          <w:p w:rsidR="00BA223E" w:rsidRPr="004E3AE5" w:rsidRDefault="00050E8C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КОРОЛЮК</w:t>
            </w:r>
          </w:p>
          <w:p w:rsidR="00050E8C" w:rsidRPr="004E3AE5" w:rsidRDefault="00050E8C" w:rsidP="00BA2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Валентин Анатолійович</w:t>
            </w:r>
          </w:p>
        </w:tc>
        <w:tc>
          <w:tcPr>
            <w:tcW w:w="5919" w:type="dxa"/>
          </w:tcPr>
          <w:p w:rsidR="00BA223E" w:rsidRPr="004E3AE5" w:rsidRDefault="00050E8C" w:rsidP="00050E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заступник </w:t>
            </w:r>
            <w:r w:rsidR="00BA223E"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</w:t>
            </w: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BA223E"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постійної комісії обласної ради з</w:t>
            </w:r>
            <w:r w:rsidRPr="004E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питань місцевого самоврядування, розвитку територій та європейської інтеграції</w:t>
            </w:r>
          </w:p>
        </w:tc>
      </w:tr>
    </w:tbl>
    <w:p w:rsidR="00C512FA" w:rsidRPr="004E3AE5" w:rsidRDefault="00C512F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урахуванням повноважень, завдань, які передбачені у діяльності обласної ради, комісія ідентифікувала та оцінила </w:t>
      </w:r>
      <w:r w:rsidR="001E34AA"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наступні</w:t>
      </w: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корупційні ризики:</w:t>
      </w:r>
    </w:p>
    <w:p w:rsidR="00C512FA" w:rsidRPr="004E3AE5" w:rsidRDefault="00C512F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 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прийняття рішень ради шляхом проведення голосування в умовах конфлікту інтересів;</w:t>
      </w:r>
    </w:p>
    <w:p w:rsidR="00C512FA" w:rsidRPr="004E3AE5" w:rsidRDefault="00C512F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2) 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вплив на депутатів ради з метою прийняття рішення ради;</w:t>
      </w:r>
    </w:p>
    <w:p w:rsidR="00C512FA" w:rsidRPr="004E3AE5" w:rsidRDefault="00C512F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та/або особистий інтерес посадової особи місцевого самоврядування, яка працює в Рівненській обласній раді та бере участь в конкурсній комісії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2FA" w:rsidRPr="004E3AE5" w:rsidRDefault="00C512FA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4) </w:t>
      </w:r>
      <w:proofErr w:type="spellStart"/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та/або особистий інтерес посадової особи місцевого самоврядування, яка працює в Рівненській обласній </w:t>
      </w:r>
      <w:r w:rsidR="00100992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раді </w:t>
      </w:r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під час роботи зі службовими документами, у зв’язку з чим відповідна інформація може бути передана третім особам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2FA" w:rsidRPr="004E3AE5" w:rsidRDefault="00AD5BF6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12FA" w:rsidRPr="004E3AE5">
        <w:rPr>
          <w:rFonts w:ascii="Times New Roman" w:hAnsi="Times New Roman" w:cs="Times New Roman"/>
          <w:sz w:val="28"/>
          <w:szCs w:val="28"/>
          <w:lang w:val="uk-UA"/>
        </w:rPr>
        <w:t>) відсутність контр</w:t>
      </w:r>
      <w:r w:rsidR="00D0279E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олю за допороговими </w:t>
      </w:r>
      <w:proofErr w:type="spellStart"/>
      <w:r w:rsidR="00D0279E" w:rsidRPr="004E3AE5">
        <w:rPr>
          <w:rFonts w:ascii="Times New Roman" w:hAnsi="Times New Roman" w:cs="Times New Roman"/>
          <w:sz w:val="28"/>
          <w:szCs w:val="28"/>
          <w:lang w:val="uk-UA"/>
        </w:rPr>
        <w:t>закупівлями</w:t>
      </w:r>
      <w:proofErr w:type="spellEnd"/>
      <w:r w:rsidR="00D0279E" w:rsidRPr="004E3A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2FA" w:rsidRPr="004E3AE5" w:rsidRDefault="00D0279E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6) </w:t>
      </w:r>
      <w:proofErr w:type="spellStart"/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та/або особистий інтерес посадової особи місцевого самоврядування, що працює в обласній раді та готує проект відповіді на запити на публічну інформацію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79E" w:rsidRPr="004E3AE5" w:rsidRDefault="007A578E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7) </w:t>
      </w:r>
      <w:proofErr w:type="spellStart"/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та/або особистий інтерес керівників відділів виконавчого апарату обласної ради</w:t>
      </w:r>
      <w:r w:rsidR="00573F5B" w:rsidRPr="004E3AE5">
        <w:rPr>
          <w:rFonts w:ascii="Times New Roman" w:hAnsi="Times New Roman" w:cs="Times New Roman"/>
          <w:sz w:val="28"/>
          <w:szCs w:val="28"/>
          <w:lang w:val="uk-UA"/>
        </w:rPr>
        <w:t>, постійних комісій обласної ради</w:t>
      </w:r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розгляду заяв, звернень громадян та юридичних осіб</w:t>
      </w:r>
      <w:r w:rsidR="00D0279E" w:rsidRPr="004E3A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79E" w:rsidRPr="004E3AE5" w:rsidRDefault="00D0279E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="007A578E" w:rsidRPr="004E3AE5">
        <w:rPr>
          <w:rFonts w:ascii="Times New Roman" w:hAnsi="Times New Roman" w:cs="Times New Roman"/>
          <w:sz w:val="28"/>
          <w:szCs w:val="28"/>
          <w:lang w:val="uk-UA"/>
        </w:rPr>
        <w:t> д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искреційний порядок встановлення розміру п</w:t>
      </w:r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ремій працівникам виконавчого а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парату;</w:t>
      </w:r>
    </w:p>
    <w:p w:rsidR="00737355" w:rsidRPr="004E3AE5" w:rsidRDefault="00737355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9) дискреційний порядок встановлення розміру надбавок, доплат, премій керівникам комунальних закладів, підприємств, установ, що є спільною </w:t>
      </w:r>
      <w:r w:rsidR="00EF449A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власністю 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сіл, селищ, міст Рівненської області;</w:t>
      </w:r>
    </w:p>
    <w:p w:rsidR="00D0279E" w:rsidRPr="004E3AE5" w:rsidRDefault="00737355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0279E" w:rsidRPr="004E3AE5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7A578E" w:rsidRPr="004E3A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0279E" w:rsidRPr="004E3AE5">
        <w:rPr>
          <w:rFonts w:ascii="Times New Roman" w:hAnsi="Times New Roman" w:cs="Times New Roman"/>
          <w:sz w:val="28"/>
          <w:szCs w:val="28"/>
          <w:lang w:val="uk-UA"/>
        </w:rPr>
        <w:t>орушення вимог фінансового контролю, несвоєчасне подання або неподання декларації особи уповноваженої на виконання функцій держави або місцевого самоврядування;</w:t>
      </w:r>
    </w:p>
    <w:p w:rsidR="00D0279E" w:rsidRPr="004E3AE5" w:rsidRDefault="00D81A7C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578E" w:rsidRPr="004E3AE5">
        <w:rPr>
          <w:rFonts w:ascii="Times New Roman" w:hAnsi="Times New Roman" w:cs="Times New Roman"/>
          <w:sz w:val="28"/>
          <w:szCs w:val="28"/>
          <w:lang w:val="uk-UA"/>
        </w:rPr>
        <w:t> п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орушення термінів оприлюднення рішень обласної ради на офіційному веб-сайті;</w:t>
      </w:r>
    </w:p>
    <w:p w:rsidR="00D81A7C" w:rsidRPr="004E3AE5" w:rsidRDefault="00D81A7C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7A578E" w:rsidRPr="004E3A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изики, пов’язані з конфліктом інтересів під час проведення перевірок установ</w:t>
      </w:r>
      <w:r w:rsidR="002E2C8D" w:rsidRPr="004E3A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підприємств, зокрема надання переваг, необґрунтованих позитивних чи негативних висновків за результатами перевірок установ</w:t>
      </w:r>
      <w:r w:rsidR="002E2C8D" w:rsidRPr="004E3A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підприємств</w:t>
      </w:r>
      <w:r w:rsidR="002E2C8D" w:rsidRPr="004E3A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в яких працюють особи, пов’язані приватним інтересом з посадовою особою, яка здійснює перевірку;</w:t>
      </w:r>
    </w:p>
    <w:p w:rsidR="00D81A7C" w:rsidRPr="004E3AE5" w:rsidRDefault="00D81A7C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578E" w:rsidRPr="004E3AE5">
        <w:rPr>
          <w:rFonts w:ascii="Times New Roman" w:hAnsi="Times New Roman" w:cs="Times New Roman"/>
          <w:sz w:val="28"/>
          <w:szCs w:val="28"/>
          <w:lang w:val="uk-UA"/>
        </w:rPr>
        <w:t> р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изики, пов’язані з отриманням неправомірної вигоди при прийнятті управлінських рішень;</w:t>
      </w:r>
    </w:p>
    <w:p w:rsidR="00D81A7C" w:rsidRPr="004E3AE5" w:rsidRDefault="00D81A7C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C9147F" w:rsidRPr="004E3A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изики, пов’язані з конфліктом інтересів під час подання на призначення та безпосереднє призначення керівників підприємств, установ, організацій, що належать до спільної власності територіальних громад сіл, селищ, міст Рівненської області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A7C" w:rsidRPr="004E3AE5" w:rsidRDefault="00D81A7C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7355" w:rsidRPr="004E3AE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573F5B" w:rsidRPr="004E3AE5">
        <w:rPr>
          <w:rFonts w:ascii="Times New Roman" w:hAnsi="Times New Roman" w:cs="Times New Roman"/>
          <w:sz w:val="28"/>
          <w:szCs w:val="28"/>
          <w:lang w:val="uk-UA"/>
        </w:rPr>
        <w:t>надання переваг, або пільг тощо депутатами обласної ради фізичним чи юридичним особам, наближеним до відповідних політичних партій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BB7" w:rsidRPr="004E3AE5" w:rsidRDefault="00DD3BB7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12FA" w:rsidRPr="004E3AE5" w:rsidRDefault="0040274F" w:rsidP="00C512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>В результаті проведеної</w:t>
      </w:r>
      <w:r w:rsidR="009F4A15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роботи було виявлено, ідентифіковано та оцінено 1</w:t>
      </w:r>
      <w:r w:rsidR="006271A3" w:rsidRPr="004E3AE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4A15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корупційних ризиків, із них 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4A15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ризики із середньою пріоритетністю, </w:t>
      </w:r>
      <w:r w:rsidR="006968FF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F4A15" w:rsidRPr="004E3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4A15"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ризиків з низькою пріоритетністю.</w:t>
      </w:r>
    </w:p>
    <w:p w:rsidR="006271A3" w:rsidRPr="004E3AE5" w:rsidRDefault="009F4A15" w:rsidP="004E3AE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оцінки корупційних ризиків у діяльності Рівненської обласної ради підготовлено </w:t>
      </w:r>
      <w:r w:rsidRPr="004E3AE5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4E3AE5">
        <w:rPr>
          <w:rStyle w:val="rvts15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Опис ідентифікованих корупційних ризиків у діяльності обласної ради, чинники корупційних ризиків та можливі наслідки корупційного правопорушення чи правопорушення, пов’язаного з корупцією</w:t>
      </w:r>
      <w:r w:rsidRPr="004E3AE5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(Додаток 1 до </w:t>
      </w:r>
      <w:r w:rsidR="003D7A03" w:rsidRPr="004E3AE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E3AE5">
        <w:rPr>
          <w:rFonts w:ascii="Times New Roman" w:hAnsi="Times New Roman" w:cs="Times New Roman"/>
          <w:b/>
          <w:sz w:val="28"/>
          <w:szCs w:val="28"/>
          <w:lang w:val="uk-UA"/>
        </w:rPr>
        <w:t>віту)</w:t>
      </w:r>
      <w:r w:rsidRPr="004E3AE5">
        <w:rPr>
          <w:rFonts w:ascii="Times New Roman" w:hAnsi="Times New Roman" w:cs="Times New Roman"/>
          <w:sz w:val="28"/>
          <w:szCs w:val="28"/>
          <w:lang w:val="uk-UA"/>
        </w:rPr>
        <w:t xml:space="preserve"> та пропозиції щодо заходів із усунення (зменшення) рівня виявлених корупційних ризиків, які викладені у «</w:t>
      </w:r>
      <w:r w:rsidR="003D7A03" w:rsidRPr="004E3AE5">
        <w:rPr>
          <w:rStyle w:val="rvts15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Таблиці</w:t>
      </w:r>
      <w:r w:rsidR="003D7A03" w:rsidRPr="004E3AE5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D7A03" w:rsidRPr="004E3AE5">
        <w:rPr>
          <w:rStyle w:val="rvts15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оцінених корупційних ризиків та заходів щодо їх усунення на 2017-2018 </w:t>
      </w:r>
      <w:r w:rsidR="00E10521" w:rsidRPr="004E3AE5">
        <w:rPr>
          <w:rStyle w:val="rvts15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роки</w:t>
      </w:r>
      <w:r w:rsidR="003D7A03" w:rsidRPr="004E3AE5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3D7A03" w:rsidRPr="004E3AE5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(Додаток 2 до Звіту).</w:t>
      </w:r>
    </w:p>
    <w:sectPr w:rsidR="006271A3" w:rsidRPr="004E3AE5" w:rsidSect="00EA0FC8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2FA"/>
    <w:rsid w:val="0002675E"/>
    <w:rsid w:val="00035E59"/>
    <w:rsid w:val="00050E8C"/>
    <w:rsid w:val="00090217"/>
    <w:rsid w:val="000A11B6"/>
    <w:rsid w:val="000A6BEF"/>
    <w:rsid w:val="000A7FDA"/>
    <w:rsid w:val="000C6662"/>
    <w:rsid w:val="00100992"/>
    <w:rsid w:val="001310FB"/>
    <w:rsid w:val="00131876"/>
    <w:rsid w:val="001A725E"/>
    <w:rsid w:val="001E34AA"/>
    <w:rsid w:val="001F1D8C"/>
    <w:rsid w:val="002264BE"/>
    <w:rsid w:val="002635E4"/>
    <w:rsid w:val="002E2C8D"/>
    <w:rsid w:val="0035308B"/>
    <w:rsid w:val="003908D4"/>
    <w:rsid w:val="003D73AB"/>
    <w:rsid w:val="003D7A03"/>
    <w:rsid w:val="0040274F"/>
    <w:rsid w:val="00471DE3"/>
    <w:rsid w:val="004E3AE5"/>
    <w:rsid w:val="004E4B48"/>
    <w:rsid w:val="004E71CD"/>
    <w:rsid w:val="004E7A95"/>
    <w:rsid w:val="004F0EEC"/>
    <w:rsid w:val="0056339A"/>
    <w:rsid w:val="00564D92"/>
    <w:rsid w:val="00570B44"/>
    <w:rsid w:val="00573F5B"/>
    <w:rsid w:val="005B0C8C"/>
    <w:rsid w:val="006271A3"/>
    <w:rsid w:val="006645BA"/>
    <w:rsid w:val="0067198E"/>
    <w:rsid w:val="0067246A"/>
    <w:rsid w:val="006948F7"/>
    <w:rsid w:val="006968FF"/>
    <w:rsid w:val="006E0C63"/>
    <w:rsid w:val="00703F9C"/>
    <w:rsid w:val="00737355"/>
    <w:rsid w:val="00764D85"/>
    <w:rsid w:val="007737D0"/>
    <w:rsid w:val="007A578E"/>
    <w:rsid w:val="007B4D52"/>
    <w:rsid w:val="007C758B"/>
    <w:rsid w:val="00837123"/>
    <w:rsid w:val="00937EE2"/>
    <w:rsid w:val="009B4880"/>
    <w:rsid w:val="009F4A15"/>
    <w:rsid w:val="00A40F65"/>
    <w:rsid w:val="00A67F47"/>
    <w:rsid w:val="00A75ACF"/>
    <w:rsid w:val="00AD5BF6"/>
    <w:rsid w:val="00AF7D42"/>
    <w:rsid w:val="00B3583B"/>
    <w:rsid w:val="00B411A2"/>
    <w:rsid w:val="00B5287A"/>
    <w:rsid w:val="00BA223E"/>
    <w:rsid w:val="00C512FA"/>
    <w:rsid w:val="00C9147F"/>
    <w:rsid w:val="00CD10BC"/>
    <w:rsid w:val="00D0279E"/>
    <w:rsid w:val="00D41142"/>
    <w:rsid w:val="00D81A7C"/>
    <w:rsid w:val="00DD03AB"/>
    <w:rsid w:val="00DD3BB7"/>
    <w:rsid w:val="00DF2F14"/>
    <w:rsid w:val="00E0186D"/>
    <w:rsid w:val="00E10521"/>
    <w:rsid w:val="00E614EA"/>
    <w:rsid w:val="00E71A93"/>
    <w:rsid w:val="00EA0FC8"/>
    <w:rsid w:val="00EF449A"/>
    <w:rsid w:val="00F81FE3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rsid w:val="009F4A15"/>
  </w:style>
  <w:style w:type="character" w:customStyle="1" w:styleId="apple-converted-space">
    <w:name w:val="apple-converted-space"/>
    <w:basedOn w:val="a0"/>
    <w:rsid w:val="003D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5002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65</cp:revision>
  <cp:lastPrinted>2017-12-04T16:04:00Z</cp:lastPrinted>
  <dcterms:created xsi:type="dcterms:W3CDTF">2017-05-26T08:05:00Z</dcterms:created>
  <dcterms:modified xsi:type="dcterms:W3CDTF">2017-12-08T13:17:00Z</dcterms:modified>
</cp:coreProperties>
</file>